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Fidan Xhema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Nedre Bankegate 7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1771,   Halden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Norway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Brittany Banks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421 Hallmark Lane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Bolingbrook,  IL 60440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David D Daniel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1053 N Keeler Ave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Chicago,  IL 60651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Valerie Powers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165 Hillside Ave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#44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New York,  NY 10040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Kourtney Easter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7540 S Hoyne Ave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Chicago,  IL 60620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Twan Mckay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1245 Palm Bay Rd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H101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Melbourne,  FL 32905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Moneika Thompson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433 N 7th St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#18e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Camden,  NJ 08102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Dulce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1544 1\/2 Denman Ave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Commerce,  CA 90022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Phileencia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917 Barnes Ave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Clarksdale,  MS 38614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/>
            </w:r>
          </w:p>
        </w:tc>
      </w:tr>
    </w:tbl>
    <w:p w:rsidR="008872D7" w:rsidRPr="00CE5395" w:rsidRDefault="008872D7" w:rsidP="00CE5395"/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